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2430A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>1</w:t>
      </w:r>
      <w:r>
        <w:t>8</w:t>
      </w:r>
      <w:r>
        <w:t xml:space="preserve">.05. </w:t>
        <w:br w:type="textWrapping"/>
        <w:t>Тема: Изучение новой песни</w:t>
      </w:r>
      <w:r>
        <w:t>.</w:t>
      </w:r>
    </w:p>
    <w:p>
      <w:r>
        <w:drawing>
          <wp:inline xmlns:wp="http://schemas.openxmlformats.org/drawingml/2006/wordprocessingDrawing">
            <wp:extent cx="6135370" cy="403161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135370" cy="403161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r>
        <w:t xml:space="preserve">Выучить 5 куплетов. </w:t>
      </w:r>
    </w:p>
    <w:p>
      <w:r>
        <w:t xml:space="preserve">20.05. </w:t>
      </w:r>
    </w:p>
    <w:p>
      <w:bookmarkStart w:id="0" w:name="_dx_frag_StartFragment"/>
      <w:bookmarkEnd w:id="0"/>
      <w:r>
        <w:t>Изучение распевки по видео</w:t>
      </w:r>
      <w:r>
        <w:t>.</w:t>
      </w:r>
    </w:p>
    <w:p>
      <w:r>
        <w:t>https://www.youtube.com/watch?time_continue=86&amp;v=NsOhnp0Hm2c&amp;feature=emb_logo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